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6F3C52" w:rsidRPr="006F3C52" w:rsidRDefault="006F3C52" w:rsidP="006F3C52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6F3C52">
        <w:rPr>
          <w:b/>
          <w:color w:val="000000"/>
          <w:sz w:val="28"/>
          <w:lang w:val="ro-RO"/>
        </w:rPr>
        <w:t>– MĂSURI PROTECȚIE PE TIMP DE CANICULĂ</w:t>
      </w:r>
      <w:r w:rsidRPr="006F3C52">
        <w:rPr>
          <w:b/>
          <w:i/>
          <w:sz w:val="32"/>
          <w:lang w:val="ro-RO" w:eastAsia="en-GB"/>
        </w:rPr>
        <w:t xml:space="preserve"> </w:t>
      </w:r>
      <w:r w:rsidRPr="006F3C52">
        <w:rPr>
          <w:b/>
          <w:color w:val="000000"/>
          <w:sz w:val="28"/>
          <w:lang w:val="ro-RO"/>
        </w:rPr>
        <w:t>–</w:t>
      </w:r>
    </w:p>
    <w:p w:rsidR="006F3C52" w:rsidRPr="006F3C52" w:rsidRDefault="006F3C52" w:rsidP="006F3C52">
      <w:pPr>
        <w:shd w:val="clear" w:color="auto" w:fill="FFFFFF"/>
        <w:spacing w:before="240" w:line="276" w:lineRule="auto"/>
        <w:ind w:firstLine="567"/>
        <w:jc w:val="both"/>
        <w:rPr>
          <w:b/>
          <w:color w:val="050505"/>
          <w:lang w:val="ro-RO"/>
        </w:rPr>
      </w:pPr>
      <w:r w:rsidRPr="006F3C52">
        <w:rPr>
          <w:b/>
          <w:color w:val="050505"/>
          <w:lang w:val="ro-RO"/>
        </w:rPr>
        <w:t>Recomandări generale pentru protecția populaţiei pe timpul manifestării caniculei: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Evitaţi, pe cât posibil, expunerea prelungită la soare între orele 11 – 18;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Dacă aveţi aer condiţionat, reglaţi aparatul astfel încât temperatura să fie cu 5 grade mai mică decât temperatura ambientală;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Ventilatoarele nu trebuie folosite dacă temperatura aerului depăşeşte 32 grade Celsius;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Purtaţi pălării de soare, haine lejere şi ample, din fibre naturale, de culori deschise;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Pe parcursul zilei faceţi duşuri călduţe, fără a vă şterge de apă;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Beţi zilnic între 1,5 – 2 litri de lichide, fără a aştepta să apară senzaţia de sete. În perioadele de caniculă se recomandă consumul unui pahar de apă (sau echivalentul acestuia) la fiecare 15 – 20 de minute.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Nu consumaţi alcool deoarece acesta favorizează deshidratarea şi diminuează capacitatea de luptă a organismului împotriva căldurii;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Evitaţi băuturile cu conţinut ridicat de cofeină (cafea, ceai, cola) sau de zahăr (sucuri răcoritoare carbogazoase) deoarece acestea sunt diuretice.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Consumaţi fructe şi legume proaspete (pepene galben, roşu, prune, castraveţi, roşii) deoarece acestea conţin o mare cantitate de apă;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 xml:space="preserve">Evitaţi activităţile în exterior care necesită un consum mare de energie (sport, grădinărit, </w:t>
      </w:r>
      <w:proofErr w:type="spellStart"/>
      <w:r w:rsidRPr="006F3C52">
        <w:rPr>
          <w:color w:val="050505"/>
          <w:lang w:val="ro-RO"/>
        </w:rPr>
        <w:t>etc</w:t>
      </w:r>
      <w:proofErr w:type="spellEnd"/>
      <w:r w:rsidRPr="006F3C52">
        <w:rPr>
          <w:color w:val="050505"/>
          <w:lang w:val="ro-RO"/>
        </w:rPr>
        <w:t>).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 xml:space="preserve">Aveţi grijă de persoanele dependente de voi (copii, vârstnici, persoane cu </w:t>
      </w:r>
      <w:proofErr w:type="spellStart"/>
      <w:r w:rsidRPr="006F3C52">
        <w:rPr>
          <w:color w:val="050505"/>
          <w:lang w:val="ro-RO"/>
        </w:rPr>
        <w:t>dizabilităţi</w:t>
      </w:r>
      <w:proofErr w:type="spellEnd"/>
      <w:r w:rsidRPr="006F3C52">
        <w:rPr>
          <w:color w:val="050505"/>
          <w:lang w:val="ro-RO"/>
        </w:rPr>
        <w:t>) oferindu-le, în mod regulat lichide, chiar dacă nu vi le solicită;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lastRenderedPageBreak/>
        <w:t>Persoanele care suferă de anumite afecţiuni îşi vor continua tratamentul conform indicaţiilor medicului. Este foarte util ca în aceste perioade, persoanele cu afecţiuni cronice, cardio-vasculare, hepatice, renale, pulmonare, de circulație, mentale sau cu hipertensiune sa consulte medicul curant în vederea adaptării schemei terapeutice la condiţiile existente;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  <w:tab w:val="left" w:pos="2127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 xml:space="preserve">Păstraţi contactul permanent cu vecini, rude, cunoştinţe care sunt în vârstă sau cu </w:t>
      </w:r>
      <w:proofErr w:type="spellStart"/>
      <w:r w:rsidRPr="006F3C52">
        <w:rPr>
          <w:color w:val="050505"/>
          <w:lang w:val="ro-RO"/>
        </w:rPr>
        <w:t>dizabilităţi</w:t>
      </w:r>
      <w:proofErr w:type="spellEnd"/>
      <w:r w:rsidRPr="006F3C52">
        <w:rPr>
          <w:color w:val="050505"/>
          <w:lang w:val="ro-RO"/>
        </w:rPr>
        <w:t xml:space="preserve">, </w:t>
      </w:r>
      <w:proofErr w:type="spellStart"/>
      <w:r w:rsidRPr="006F3C52">
        <w:rPr>
          <w:color w:val="050505"/>
          <w:lang w:val="ro-RO"/>
        </w:rPr>
        <w:t>interesandu-vă</w:t>
      </w:r>
      <w:proofErr w:type="spellEnd"/>
      <w:r w:rsidRPr="006F3C52">
        <w:rPr>
          <w:color w:val="050505"/>
          <w:lang w:val="ro-RO"/>
        </w:rPr>
        <w:t xml:space="preserve"> de starea lor de sănătate.</w:t>
      </w:r>
    </w:p>
    <w:p w:rsidR="006F3C52" w:rsidRPr="006F3C52" w:rsidRDefault="006F3C52" w:rsidP="006F3C52">
      <w:pPr>
        <w:shd w:val="clear" w:color="auto" w:fill="FFFFFF"/>
        <w:spacing w:before="240" w:line="276" w:lineRule="auto"/>
        <w:ind w:firstLine="567"/>
        <w:jc w:val="both"/>
        <w:rPr>
          <w:b/>
          <w:color w:val="050505"/>
          <w:lang w:val="ro-RO"/>
        </w:rPr>
      </w:pPr>
      <w:r w:rsidRPr="006F3C52">
        <w:rPr>
          <w:b/>
          <w:color w:val="050505"/>
          <w:lang w:val="ro-RO"/>
        </w:rPr>
        <w:t>Cum putem să limităm creşterea temperaturii în locuinţe: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1418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Închideţi ferestrele expuse la soare, trageţi jaluzelele şi/sau draperiile;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1418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Ţineţi ferestrele închise pe toată perioada cât temperatura exterioară este superioară celei din locuinţă;</w:t>
      </w:r>
    </w:p>
    <w:p w:rsidR="006F3C52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1418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Deschideţi ferestrele seara târziu, noaptea şi dimineaţa devreme, provocând curenţi de aer, pe perioada cât temperatura exterioară este inferioară celei din locuinţă;</w:t>
      </w:r>
    </w:p>
    <w:p w:rsid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1418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r w:rsidRPr="006F3C52">
        <w:rPr>
          <w:color w:val="050505"/>
          <w:lang w:val="ro-RO"/>
        </w:rPr>
        <w:t>Stingeţi sau scădeţi intensitatea luminii artificiale;</w:t>
      </w:r>
    </w:p>
    <w:p w:rsidR="001B7A17" w:rsidRPr="006F3C52" w:rsidRDefault="006F3C52" w:rsidP="006F3C52">
      <w:pPr>
        <w:numPr>
          <w:ilvl w:val="0"/>
          <w:numId w:val="41"/>
        </w:numPr>
        <w:shd w:val="clear" w:color="auto" w:fill="FFFFFF"/>
        <w:tabs>
          <w:tab w:val="left" w:pos="1418"/>
        </w:tabs>
        <w:spacing w:before="240" w:line="276" w:lineRule="auto"/>
        <w:ind w:left="0" w:firstLine="927"/>
        <w:jc w:val="both"/>
        <w:rPr>
          <w:color w:val="050505"/>
          <w:lang w:val="ro-RO"/>
        </w:rPr>
      </w:pPr>
      <w:bookmarkStart w:id="0" w:name="_GoBack"/>
      <w:bookmarkEnd w:id="0"/>
      <w:r w:rsidRPr="006F3C52">
        <w:rPr>
          <w:color w:val="050505"/>
          <w:lang w:val="ro-RO"/>
        </w:rPr>
        <w:t>Închideţi orice aparat electrocasnic de care nu aveţi nevoie.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F3C5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2A771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F9586D" wp14:editId="07C23561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866D4E" wp14:editId="001C237B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89C680" wp14:editId="0A910BC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75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C150B"/>
    <w:multiLevelType w:val="hybridMultilevel"/>
    <w:tmpl w:val="05C0169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54B94"/>
    <w:multiLevelType w:val="hybridMultilevel"/>
    <w:tmpl w:val="2D5C84A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AF0D696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9">
    <w:nsid w:val="17E9033A"/>
    <w:multiLevelType w:val="hybridMultilevel"/>
    <w:tmpl w:val="CA6651FA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28B"/>
    <w:multiLevelType w:val="hybridMultilevel"/>
    <w:tmpl w:val="2E08380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901AC2"/>
    <w:multiLevelType w:val="hybridMultilevel"/>
    <w:tmpl w:val="6760307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7"/>
  </w:num>
  <w:num w:numId="5">
    <w:abstractNumId w:val="38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17"/>
  </w:num>
  <w:num w:numId="11">
    <w:abstractNumId w:val="1"/>
  </w:num>
  <w:num w:numId="12">
    <w:abstractNumId w:val="27"/>
  </w:num>
  <w:num w:numId="13">
    <w:abstractNumId w:val="28"/>
  </w:num>
  <w:num w:numId="14">
    <w:abstractNumId w:val="5"/>
  </w:num>
  <w:num w:numId="15">
    <w:abstractNumId w:val="35"/>
  </w:num>
  <w:num w:numId="16">
    <w:abstractNumId w:val="40"/>
  </w:num>
  <w:num w:numId="17">
    <w:abstractNumId w:val="21"/>
  </w:num>
  <w:num w:numId="18">
    <w:abstractNumId w:val="11"/>
  </w:num>
  <w:num w:numId="19">
    <w:abstractNumId w:val="24"/>
  </w:num>
  <w:num w:numId="20">
    <w:abstractNumId w:val="23"/>
  </w:num>
  <w:num w:numId="21">
    <w:abstractNumId w:val="37"/>
  </w:num>
  <w:num w:numId="22">
    <w:abstractNumId w:val="36"/>
  </w:num>
  <w:num w:numId="23">
    <w:abstractNumId w:val="8"/>
  </w:num>
  <w:num w:numId="24">
    <w:abstractNumId w:val="18"/>
  </w:num>
  <w:num w:numId="25">
    <w:abstractNumId w:val="29"/>
  </w:num>
  <w:num w:numId="26">
    <w:abstractNumId w:val="26"/>
  </w:num>
  <w:num w:numId="27">
    <w:abstractNumId w:val="13"/>
  </w:num>
  <w:num w:numId="28">
    <w:abstractNumId w:val="12"/>
  </w:num>
  <w:num w:numId="29">
    <w:abstractNumId w:val="33"/>
  </w:num>
  <w:num w:numId="30">
    <w:abstractNumId w:val="31"/>
  </w:num>
  <w:num w:numId="31">
    <w:abstractNumId w:val="34"/>
  </w:num>
  <w:num w:numId="32">
    <w:abstractNumId w:val="22"/>
  </w:num>
  <w:num w:numId="33">
    <w:abstractNumId w:val="39"/>
  </w:num>
  <w:num w:numId="34">
    <w:abstractNumId w:val="19"/>
  </w:num>
  <w:num w:numId="35">
    <w:abstractNumId w:val="1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"/>
  </w:num>
  <w:num w:numId="39">
    <w:abstractNumId w:val="30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A7716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F3C52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75E1A"/>
    <w:rsid w:val="00C812C6"/>
    <w:rsid w:val="00CA6184"/>
    <w:rsid w:val="00CE7F97"/>
    <w:rsid w:val="00CF2F87"/>
    <w:rsid w:val="00D13F93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EEBB-62F6-45EC-808A-77C0B3DD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19</cp:revision>
  <dcterms:created xsi:type="dcterms:W3CDTF">2021-02-26T13:54:00Z</dcterms:created>
  <dcterms:modified xsi:type="dcterms:W3CDTF">2022-06-30T12:42:00Z</dcterms:modified>
</cp:coreProperties>
</file>